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rnum Sko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ærket er lavet af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yushm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uli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nn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sefi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verskrift: Eleverne liv og udvikling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klarende tekst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leverne har valgt at sætte fokus på de tre forskellige faser som børn gennemgår på en skole. Indskoling, mellemskolen og udskoling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cene I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ørnene er nye i skolen og bruger stadig deres tid på at lege og være vilde. Dette symboliseres ved mange hurtige og kaotiske farver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efterfulgt af kort pause med slukket ly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cene II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ellemskolen. Eleverne er nu vant til at gå i skole og legen er næsten forsvundet. Lysene er nu mere rytmiske og rolig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efterfulgt af kort pause med slukket lys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cene III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dskolingen. Børnene er nu blevet “voksende” og leger slet ikke mere. Alle lysene er blevet mere matte, nedtonet og vises i faste mønstr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efterfulgt af kort pause med slukket l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