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leverne i Vrå havde en stor viden og mange meninger omkring deres by, så vi sjældent opleve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everne lysinstallationer var meget præget af, at eleverne havde stærke holdninger til de udvalgt bygninger eller pladser. Derfor blev alle stederne kraftigt diskuteret. Både i forhold til om de mente et givet sted var flot eller grimt, men også i forhold til hvad de betød for børnene. Vi så både eksempler på små hyldester til den lokale arkitektur, men så kritiske belysninger af, hvad de så som problematiske stede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t i alt var eleverne meget engageret i arbejde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